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5E778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5E778D">
        <w:rPr>
          <w:rFonts w:ascii="Arial Narrow" w:hAnsi="Arial Narrow"/>
          <w:b/>
          <w:bCs/>
          <w:sz w:val="22"/>
          <w:szCs w:val="22"/>
        </w:rPr>
        <w:t xml:space="preserve">   </w:t>
      </w:r>
      <w:r w:rsidR="00EF2B6E">
        <w:rPr>
          <w:rFonts w:ascii="Arial Narrow" w:hAnsi="Arial Narrow"/>
          <w:sz w:val="22"/>
          <w:szCs w:val="22"/>
          <w:lang w:val="mk-MK"/>
        </w:rPr>
        <w:t>ДОМ</w:t>
      </w:r>
      <w:r w:rsidR="005E778D">
        <w:rPr>
          <w:rFonts w:ascii="Arial Narrow" w:hAnsi="Arial Narrow"/>
          <w:sz w:val="22"/>
          <w:szCs w:val="22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 НА</w:t>
      </w:r>
      <w:r w:rsidR="005E778D">
        <w:rPr>
          <w:rFonts w:ascii="Arial Narrow" w:hAnsi="Arial Narrow"/>
          <w:sz w:val="22"/>
          <w:szCs w:val="22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 КУЛТУРА </w:t>
      </w:r>
      <w:r w:rsidR="005E778D">
        <w:rPr>
          <w:rFonts w:ascii="Arial Narrow" w:hAnsi="Arial Narrow"/>
          <w:sz w:val="22"/>
          <w:szCs w:val="22"/>
        </w:rPr>
        <w:t xml:space="preserve">  </w:t>
      </w:r>
      <w:r w:rsidR="00EF2B6E">
        <w:rPr>
          <w:rFonts w:ascii="Arial Narrow" w:hAnsi="Arial Narrow"/>
          <w:sz w:val="22"/>
          <w:szCs w:val="22"/>
          <w:lang w:val="mk-MK"/>
        </w:rPr>
        <w:t>„КОЧО РАЦИН“</w:t>
      </w:r>
      <w:r w:rsidR="005E778D">
        <w:rPr>
          <w:rFonts w:ascii="Arial Narrow" w:hAnsi="Arial Narrow"/>
          <w:sz w:val="22"/>
          <w:szCs w:val="22"/>
        </w:rPr>
        <w:t xml:space="preserve">  </w:t>
      </w:r>
      <w:r w:rsidR="005E778D">
        <w:rPr>
          <w:rFonts w:ascii="Arial Narrow" w:hAnsi="Arial Narrow"/>
          <w:sz w:val="22"/>
          <w:szCs w:val="22"/>
          <w:lang w:val="mk-MK"/>
        </w:rPr>
        <w:t xml:space="preserve">СКОПЈЕ          603 - М  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5E778D">
        <w:rPr>
          <w:rFonts w:ascii="Arial Narrow" w:hAnsi="Arial Narrow"/>
          <w:b/>
          <w:bCs/>
          <w:sz w:val="22"/>
          <w:szCs w:val="22"/>
          <w:lang w:val="mk-MK"/>
        </w:rPr>
        <w:t xml:space="preserve">   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Ул.  </w:t>
      </w:r>
      <w:r w:rsidR="001759A6">
        <w:rPr>
          <w:rFonts w:ascii="Arial Narrow" w:hAnsi="Arial Narrow"/>
          <w:sz w:val="22"/>
          <w:szCs w:val="22"/>
          <w:lang w:val="mk-MK"/>
        </w:rPr>
        <w:t>ДИМИТРИЈЕ  ЧУПОВСКИ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   Бр.   </w:t>
      </w:r>
      <w:r w:rsidR="00EF2B6E">
        <w:rPr>
          <w:rFonts w:ascii="Arial Narrow" w:hAnsi="Arial Narrow"/>
          <w:sz w:val="22"/>
          <w:szCs w:val="22"/>
          <w:lang w:val="mk-MK"/>
        </w:rPr>
        <w:t>20А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   СКОПЈЕ      070 – 279 - 549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5E778D">
        <w:rPr>
          <w:rFonts w:ascii="Arial Narrow" w:hAnsi="Arial Narrow"/>
          <w:b/>
          <w:bCs/>
          <w:sz w:val="22"/>
          <w:szCs w:val="22"/>
          <w:lang w:val="mk-MK"/>
        </w:rPr>
        <w:t xml:space="preserve">         </w:t>
      </w:r>
      <w:r w:rsidR="00EF2B6E">
        <w:rPr>
          <w:rFonts w:ascii="Arial Narrow" w:hAnsi="Arial Narrow"/>
          <w:sz w:val="22"/>
          <w:szCs w:val="22"/>
          <w:lang w:val="mk-MK"/>
        </w:rPr>
        <w:t>4030974226503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24162B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 xml:space="preserve">  31.  12. 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6727C9">
        <w:rPr>
          <w:rFonts w:ascii="Arial Narrow" w:hAnsi="Arial Narrow"/>
          <w:color w:val="000000"/>
          <w:sz w:val="22"/>
          <w:szCs w:val="22"/>
        </w:rPr>
        <w:t>2</w:t>
      </w:r>
      <w:r w:rsidR="00712950">
        <w:rPr>
          <w:rFonts w:ascii="Arial Narrow" w:hAnsi="Arial Narrow"/>
          <w:color w:val="000000"/>
          <w:sz w:val="22"/>
          <w:szCs w:val="22"/>
        </w:rPr>
        <w:t>2</w:t>
      </w:r>
      <w:r w:rsidR="005E778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727C9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6727C9" w:rsidRPr="00091D6D" w:rsidRDefault="006727C9" w:rsidP="006727C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</w:p>
          <w:p w:rsidR="006727C9" w:rsidRPr="00091D6D" w:rsidRDefault="006727C9" w:rsidP="006727C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727C9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650DF" w:rsidRPr="009F5B8B" w:rsidRDefault="004650DF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173.809</w:t>
            </w:r>
          </w:p>
        </w:tc>
      </w:tr>
      <w:tr w:rsidR="006727C9" w:rsidRPr="00091D6D" w:rsidTr="00DD4971">
        <w:trPr>
          <w:trHeight w:hRule="exact" w:val="57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а) ПЛАТИИ НАДОМЕСТОЦИ </w:t>
            </w:r>
          </w:p>
          <w:p w:rsidR="006727C9" w:rsidRPr="00091D6D" w:rsidRDefault="006727C9" w:rsidP="006727C9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DD497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D0451B" w:rsidRPr="00091D6D" w:rsidRDefault="00D0451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DD497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DD497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D0451B" w:rsidRPr="00091D6D" w:rsidRDefault="00D0451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D0451B" w:rsidRPr="00091D6D" w:rsidRDefault="00D0451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7579FF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0451B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B95E30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7579FF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D0451B" w:rsidRPr="00091D6D" w:rsidRDefault="00D0451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D0451B" w:rsidRPr="00091D6D" w:rsidRDefault="00D0451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6727C9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  <w:p w:rsidR="004650DF" w:rsidRPr="009F5B8B" w:rsidRDefault="004650DF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173.809</w:t>
            </w:r>
          </w:p>
        </w:tc>
      </w:tr>
      <w:tr w:rsidR="006727C9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9F5B8B" w:rsidRDefault="004650DF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173.809</w:t>
            </w:r>
          </w:p>
        </w:tc>
      </w:tr>
      <w:tr w:rsidR="00D0451B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D0451B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0451B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</w:p>
          <w:p w:rsidR="00D0451B" w:rsidRPr="00091D6D" w:rsidRDefault="00D0451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7579FF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7579FF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D0451B" w:rsidRPr="00091D6D" w:rsidRDefault="00D0451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Default="006727C9" w:rsidP="006727C9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6727C9" w:rsidRPr="00091D6D" w:rsidRDefault="006727C9" w:rsidP="006727C9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4650DF" w:rsidRPr="009F5B8B" w:rsidRDefault="004650DF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173.809</w:t>
            </w:r>
          </w:p>
        </w:tc>
      </w:tr>
      <w:tr w:rsidR="006727C9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6727C9" w:rsidRPr="00FC033A" w:rsidRDefault="006727C9" w:rsidP="006727C9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D0451B" w:rsidRPr="00091D6D" w:rsidRDefault="00D0451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до066)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D0451B" w:rsidRPr="00091D6D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727C9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6727C9" w:rsidRPr="00FC033A" w:rsidRDefault="006727C9" w:rsidP="006727C9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6727C9" w:rsidRPr="00FC033A" w:rsidRDefault="006727C9" w:rsidP="006727C9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727C9" w:rsidRPr="004B3DAA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727C9" w:rsidRPr="004B3DAA" w:rsidRDefault="004650DF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173.809</w:t>
            </w:r>
          </w:p>
        </w:tc>
      </w:tr>
      <w:tr w:rsidR="006727C9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27C9" w:rsidRPr="00091D6D" w:rsidRDefault="006727C9" w:rsidP="006727C9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6727C9" w:rsidRPr="00091D6D" w:rsidRDefault="006727C9" w:rsidP="006727C9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727C9" w:rsidRPr="00091D6D" w:rsidRDefault="006727C9" w:rsidP="006727C9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6727C9" w:rsidRPr="00091D6D" w:rsidRDefault="006727C9" w:rsidP="006727C9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D0451B" w:rsidRPr="00091D6D" w:rsidRDefault="00D0451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D0451B" w:rsidRPr="00091D6D" w:rsidRDefault="00D0451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D0451B" w:rsidRPr="00091D6D" w:rsidRDefault="00D0451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(од083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6727C9" w:rsidRPr="00091D6D" w:rsidRDefault="006727C9" w:rsidP="006727C9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F1569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650DF" w:rsidRPr="00F1569D" w:rsidRDefault="004650DF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173.809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727C9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9F5B8B" w:rsidRDefault="004650DF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173.809</w:t>
            </w:r>
          </w:p>
        </w:tc>
      </w:tr>
      <w:tr w:rsidR="006727C9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6727C9" w:rsidRPr="00091D6D" w:rsidRDefault="006727C9" w:rsidP="006727C9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Default="006727C9" w:rsidP="006727C9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6727C9" w:rsidRPr="00091D6D" w:rsidRDefault="006727C9" w:rsidP="006727C9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6727C9" w:rsidRPr="00091D6D" w:rsidRDefault="006727C9" w:rsidP="006727C9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6727C9" w:rsidRPr="00091D6D" w:rsidRDefault="006727C9" w:rsidP="006727C9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650DF" w:rsidRPr="009F5B8B" w:rsidRDefault="004650DF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173.809</w:t>
            </w:r>
          </w:p>
        </w:tc>
      </w:tr>
      <w:tr w:rsidR="006727C9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6727C9" w:rsidRPr="00091D6D" w:rsidRDefault="006727C9" w:rsidP="006727C9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6727C9" w:rsidRPr="00091D6D" w:rsidRDefault="006727C9" w:rsidP="006727C9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4650DF" w:rsidRPr="009F5B8B" w:rsidRDefault="004650DF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173.809</w:t>
            </w:r>
            <w:bookmarkStart w:id="14" w:name="_GoBack"/>
            <w:bookmarkEnd w:id="14"/>
          </w:p>
        </w:tc>
      </w:tr>
      <w:tr w:rsidR="002C2160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C2160" w:rsidRPr="00091D6D" w:rsidRDefault="002C2160" w:rsidP="002C216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C2160" w:rsidRPr="00091D6D" w:rsidRDefault="002C2160" w:rsidP="002C21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C2160" w:rsidRPr="00091D6D" w:rsidRDefault="002C2160" w:rsidP="002C2160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2C2160" w:rsidRPr="00091D6D" w:rsidRDefault="002C2160" w:rsidP="002C2160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C2160" w:rsidRPr="00091D6D" w:rsidRDefault="002C2160" w:rsidP="002C216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2160" w:rsidRPr="009F5B8B" w:rsidRDefault="002C2160" w:rsidP="002C21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2160" w:rsidRPr="009F5B8B" w:rsidRDefault="002C2160" w:rsidP="002C21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>СКОПЈЕ</w:t>
      </w:r>
    </w:p>
    <w:p w:rsidR="00E66266" w:rsidRPr="00D0451B" w:rsidRDefault="00E66266" w:rsidP="00B95E30">
      <w:pPr>
        <w:spacing w:before="211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Наден</w:t>
      </w:r>
      <w:r w:rsidR="00D0451B">
        <w:rPr>
          <w:rFonts w:ascii="Arial Narrow" w:hAnsi="Arial Narrow"/>
          <w:color w:val="000000"/>
          <w:sz w:val="22"/>
          <w:szCs w:val="22"/>
        </w:rPr>
        <w:br/>
      </w:r>
      <w:r w:rsidR="00712950">
        <w:rPr>
          <w:rFonts w:ascii="Arial Narrow" w:hAnsi="Arial Narrow"/>
          <w:color w:val="000000"/>
          <w:sz w:val="22"/>
          <w:szCs w:val="22"/>
        </w:rPr>
        <w:t>14</w:t>
      </w:r>
      <w:r w:rsidR="00D0451B">
        <w:rPr>
          <w:rFonts w:ascii="Arial Narrow" w:hAnsi="Arial Narrow"/>
          <w:color w:val="000000"/>
          <w:sz w:val="22"/>
          <w:szCs w:val="22"/>
        </w:rPr>
        <w:t>.0</w:t>
      </w:r>
      <w:r w:rsidR="0024162B">
        <w:rPr>
          <w:rFonts w:ascii="Arial Narrow" w:hAnsi="Arial Narrow"/>
          <w:color w:val="000000"/>
          <w:sz w:val="22"/>
          <w:szCs w:val="22"/>
        </w:rPr>
        <w:t>2</w:t>
      </w:r>
      <w:r w:rsidR="00D0451B">
        <w:rPr>
          <w:rFonts w:ascii="Arial Narrow" w:hAnsi="Arial Narrow"/>
          <w:color w:val="000000"/>
          <w:sz w:val="22"/>
          <w:szCs w:val="22"/>
        </w:rPr>
        <w:t>.20</w:t>
      </w:r>
      <w:r w:rsidR="00483466">
        <w:rPr>
          <w:rFonts w:ascii="Arial Narrow" w:hAnsi="Arial Narrow"/>
          <w:color w:val="000000"/>
          <w:sz w:val="22"/>
          <w:szCs w:val="22"/>
        </w:rPr>
        <w:t>2</w:t>
      </w:r>
      <w:r w:rsidR="00712950">
        <w:rPr>
          <w:rFonts w:ascii="Arial Narrow" w:hAnsi="Arial Narrow"/>
          <w:color w:val="000000"/>
          <w:sz w:val="22"/>
          <w:szCs w:val="22"/>
        </w:rPr>
        <w:t>3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1B3663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834C3"/>
    <w:rsid w:val="00091D6D"/>
    <w:rsid w:val="00095BB8"/>
    <w:rsid w:val="000E22B8"/>
    <w:rsid w:val="00101571"/>
    <w:rsid w:val="001759A6"/>
    <w:rsid w:val="001B3663"/>
    <w:rsid w:val="001D2523"/>
    <w:rsid w:val="0024162B"/>
    <w:rsid w:val="00297A6C"/>
    <w:rsid w:val="002C2160"/>
    <w:rsid w:val="00322A95"/>
    <w:rsid w:val="003532A9"/>
    <w:rsid w:val="004650DF"/>
    <w:rsid w:val="004770E3"/>
    <w:rsid w:val="00483466"/>
    <w:rsid w:val="004B3DAA"/>
    <w:rsid w:val="00585773"/>
    <w:rsid w:val="005E778D"/>
    <w:rsid w:val="00627155"/>
    <w:rsid w:val="006727C9"/>
    <w:rsid w:val="006C5A67"/>
    <w:rsid w:val="00712950"/>
    <w:rsid w:val="00724CB0"/>
    <w:rsid w:val="007579FF"/>
    <w:rsid w:val="0077647F"/>
    <w:rsid w:val="00795F57"/>
    <w:rsid w:val="007D6C05"/>
    <w:rsid w:val="00821148"/>
    <w:rsid w:val="008B1917"/>
    <w:rsid w:val="008C71AC"/>
    <w:rsid w:val="008D578F"/>
    <w:rsid w:val="009F5B8B"/>
    <w:rsid w:val="00A46B82"/>
    <w:rsid w:val="00B42A84"/>
    <w:rsid w:val="00B95E30"/>
    <w:rsid w:val="00CD2FE9"/>
    <w:rsid w:val="00D0451B"/>
    <w:rsid w:val="00D5688F"/>
    <w:rsid w:val="00D6699F"/>
    <w:rsid w:val="00DD4971"/>
    <w:rsid w:val="00E04009"/>
    <w:rsid w:val="00E66266"/>
    <w:rsid w:val="00ED77F6"/>
    <w:rsid w:val="00EF2B6E"/>
    <w:rsid w:val="00F1569D"/>
    <w:rsid w:val="00F17D44"/>
    <w:rsid w:val="00F73A6E"/>
    <w:rsid w:val="00F87209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CBEE"/>
  <w15:docId w15:val="{9BA20A75-F79F-40B9-B98D-AAA7197B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663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B3663"/>
  </w:style>
  <w:style w:type="character" w:customStyle="1" w:styleId="WW-Absatz-Standardschriftart">
    <w:name w:val="WW-Absatz-Standardschriftart"/>
    <w:rsid w:val="001B3663"/>
  </w:style>
  <w:style w:type="character" w:customStyle="1" w:styleId="WW-Absatz-Standardschriftart1">
    <w:name w:val="WW-Absatz-Standardschriftart1"/>
    <w:rsid w:val="001B3663"/>
  </w:style>
  <w:style w:type="character" w:customStyle="1" w:styleId="WW8Num1z0">
    <w:name w:val="WW8Num1z0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1B3663"/>
  </w:style>
  <w:style w:type="character" w:customStyle="1" w:styleId="RTFNum21">
    <w:name w:val="RTF_Num 2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1B3663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1B3663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1B3663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1B3663"/>
  </w:style>
  <w:style w:type="paragraph" w:customStyle="1" w:styleId="Heading">
    <w:name w:val="Heading"/>
    <w:basedOn w:val="Normal"/>
    <w:next w:val="BodyText"/>
    <w:rsid w:val="001B366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1B3663"/>
    <w:pPr>
      <w:spacing w:after="120"/>
    </w:pPr>
  </w:style>
  <w:style w:type="paragraph" w:styleId="List">
    <w:name w:val="List"/>
    <w:basedOn w:val="BodyText"/>
    <w:semiHidden/>
    <w:rsid w:val="001B3663"/>
    <w:rPr>
      <w:rFonts w:cs="Tahoma"/>
    </w:rPr>
  </w:style>
  <w:style w:type="paragraph" w:styleId="Caption">
    <w:name w:val="caption"/>
    <w:basedOn w:val="Normal"/>
    <w:qFormat/>
    <w:rsid w:val="001B366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1B3663"/>
    <w:rPr>
      <w:rFonts w:cs="Tahoma"/>
    </w:rPr>
  </w:style>
  <w:style w:type="paragraph" w:customStyle="1" w:styleId="Caption1">
    <w:name w:val="Caption1"/>
    <w:basedOn w:val="Normal"/>
    <w:rsid w:val="001B3663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1B3663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1B3663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1B3663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1B3663"/>
  </w:style>
  <w:style w:type="paragraph" w:customStyle="1" w:styleId="TableHeading">
    <w:name w:val="Table Heading"/>
    <w:basedOn w:val="TableContents"/>
    <w:rsid w:val="001B366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A84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Ljilja</cp:lastModifiedBy>
  <cp:revision>49</cp:revision>
  <cp:lastPrinted>2022-02-06T09:07:00Z</cp:lastPrinted>
  <dcterms:created xsi:type="dcterms:W3CDTF">2013-01-15T09:25:00Z</dcterms:created>
  <dcterms:modified xsi:type="dcterms:W3CDTF">2023-02-11T13:30:00Z</dcterms:modified>
</cp:coreProperties>
</file>